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0A08D" w14:textId="77777777" w:rsidR="00356F1B" w:rsidRDefault="00356F1B" w:rsidP="00356F1B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Informacja o podziale czynności oraz sposobie uczestniczenia</w:t>
      </w:r>
    </w:p>
    <w:p w14:paraId="79BC106B" w14:textId="77777777" w:rsidR="00356F1B" w:rsidRDefault="00356F1B" w:rsidP="00356F1B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w przydziale spraw w Sądzie Apelacyjnym w Białymstoku </w:t>
      </w:r>
    </w:p>
    <w:p w14:paraId="3ECED8D9" w14:textId="44B3ED6D" w:rsidR="00356F1B" w:rsidRDefault="00356F1B" w:rsidP="00356F1B">
      <w:pPr>
        <w:numPr>
          <w:ilvl w:val="0"/>
          <w:numId w:val="1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obowiązujący od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1 </w:t>
      </w:r>
      <w:r>
        <w:rPr>
          <w:rFonts w:eastAsia="Times New Roman" w:cstheme="minorHAnsi"/>
          <w:b/>
          <w:sz w:val="24"/>
          <w:szCs w:val="24"/>
          <w:lang w:eastAsia="pl-PL"/>
        </w:rPr>
        <w:t>kwietnia 202</w:t>
      </w:r>
      <w:r>
        <w:rPr>
          <w:rFonts w:eastAsia="Times New Roman" w:cstheme="minorHAnsi"/>
          <w:b/>
          <w:sz w:val="24"/>
          <w:szCs w:val="24"/>
          <w:lang w:eastAsia="pl-PL"/>
        </w:rPr>
        <w:t>0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r. </w:t>
      </w:r>
    </w:p>
    <w:p w14:paraId="2061DFF7" w14:textId="77777777" w:rsidR="00356F1B" w:rsidRDefault="00356F1B" w:rsidP="00356F1B">
      <w:pPr>
        <w:numPr>
          <w:ilvl w:val="0"/>
          <w:numId w:val="1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zmieniony w dniach:</w:t>
      </w:r>
    </w:p>
    <w:p w14:paraId="65D9C61E" w14:textId="3C463A5E" w:rsidR="00356F1B" w:rsidRDefault="00356F1B" w:rsidP="00356F1B">
      <w:pPr>
        <w:numPr>
          <w:ilvl w:val="0"/>
          <w:numId w:val="2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21 grudnia 2020 r.</w:t>
      </w:r>
    </w:p>
    <w:p w14:paraId="6E92605C" w14:textId="2A1A1C09" w:rsidR="00356F1B" w:rsidRDefault="00356F1B" w:rsidP="00356F1B">
      <w:pPr>
        <w:numPr>
          <w:ilvl w:val="0"/>
          <w:numId w:val="2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1 kwietnia 2021 r.</w:t>
      </w:r>
    </w:p>
    <w:p w14:paraId="46B24542" w14:textId="703E9037" w:rsidR="00356F1B" w:rsidRDefault="00356F1B" w:rsidP="00356F1B">
      <w:pPr>
        <w:numPr>
          <w:ilvl w:val="0"/>
          <w:numId w:val="2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12 maja 2025 r.</w:t>
      </w:r>
    </w:p>
    <w:p w14:paraId="0087A61B" w14:textId="77777777" w:rsidR="00356F1B" w:rsidRDefault="00356F1B" w:rsidP="00356F1B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I. Przydział sędziów, asesorów sądowych i referendarzy sądowych do wydziałów sądu, zakres ich obowiązków i sposób uczestniczenia w przydziale spraw i zadań sądu:</w:t>
      </w:r>
    </w:p>
    <w:p w14:paraId="6EFC16DF" w14:textId="77777777" w:rsidR="00356F1B" w:rsidRDefault="00356F1B" w:rsidP="00356F1B">
      <w:pPr>
        <w:spacing w:after="36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Lp. Wydział, </w:t>
      </w:r>
      <w:r>
        <w:rPr>
          <w:rFonts w:cstheme="minorHAnsi"/>
          <w:b/>
          <w:sz w:val="24"/>
          <w:szCs w:val="24"/>
        </w:rPr>
        <w:t>II Wydział Karny</w:t>
      </w:r>
    </w:p>
    <w:p w14:paraId="58066AA3" w14:textId="4D689795" w:rsidR="00356F1B" w:rsidRDefault="00356F1B" w:rsidP="00356F1B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Imię (imiona) </w:t>
      </w:r>
      <w:r>
        <w:rPr>
          <w:rFonts w:eastAsia="Times New Roman" w:cstheme="minorHAnsi"/>
          <w:b/>
          <w:sz w:val="24"/>
          <w:szCs w:val="24"/>
          <w:lang w:eastAsia="pl-PL"/>
        </w:rPr>
        <w:t>Sławomir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; </w:t>
      </w:r>
      <w:r>
        <w:rPr>
          <w:rFonts w:eastAsia="Times New Roman" w:cstheme="minorHAnsi"/>
          <w:sz w:val="24"/>
          <w:szCs w:val="24"/>
          <w:lang w:eastAsia="pl-PL"/>
        </w:rPr>
        <w:t xml:space="preserve">Nazwisko </w:t>
      </w:r>
      <w:r>
        <w:rPr>
          <w:rFonts w:eastAsia="Times New Roman" w:cstheme="minorHAnsi"/>
          <w:b/>
          <w:sz w:val="24"/>
          <w:szCs w:val="24"/>
          <w:lang w:eastAsia="pl-PL"/>
        </w:rPr>
        <w:t>Wołosik</w:t>
      </w:r>
      <w:bookmarkStart w:id="0" w:name="_GoBack"/>
      <w:bookmarkEnd w:id="0"/>
      <w:r>
        <w:rPr>
          <w:rFonts w:eastAsia="Times New Roman" w:cstheme="minorHAnsi"/>
          <w:b/>
          <w:sz w:val="24"/>
          <w:szCs w:val="24"/>
          <w:lang w:eastAsia="pl-PL"/>
        </w:rPr>
        <w:t>;</w:t>
      </w:r>
      <w:r>
        <w:rPr>
          <w:rFonts w:eastAsia="Times New Roman" w:cstheme="minorHAnsi"/>
          <w:sz w:val="24"/>
          <w:szCs w:val="24"/>
          <w:lang w:eastAsia="pl-PL"/>
        </w:rPr>
        <w:t xml:space="preserve"> Podstawowy wskaźnik przydziału </w:t>
      </w:r>
      <w:r>
        <w:rPr>
          <w:rFonts w:eastAsia="Times New Roman" w:cstheme="minorHAnsi"/>
          <w:b/>
          <w:sz w:val="24"/>
          <w:szCs w:val="24"/>
          <w:lang w:eastAsia="pl-PL"/>
        </w:rPr>
        <w:t>100%</w:t>
      </w:r>
    </w:p>
    <w:p w14:paraId="0935DDBD" w14:textId="77777777" w:rsidR="00356F1B" w:rsidRDefault="00356F1B" w:rsidP="00356F1B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Uzasadnienie podstawowego wskaźnika przydziału niższego niż 100%</w:t>
      </w:r>
    </w:p>
    <w:p w14:paraId="72884C10" w14:textId="77777777" w:rsidR="00356F1B" w:rsidRDefault="00356F1B" w:rsidP="00356F1B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Wskaźniki przydziału inne niż podstawowy;</w:t>
      </w:r>
    </w:p>
    <w:p w14:paraId="71DAE8B0" w14:textId="77777777" w:rsidR="00356F1B" w:rsidRDefault="00356F1B" w:rsidP="00356F1B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Wysokość wskaźnika; </w:t>
      </w:r>
    </w:p>
    <w:p w14:paraId="761D90E9" w14:textId="77777777" w:rsidR="00356F1B" w:rsidRDefault="00356F1B" w:rsidP="00356F1B">
      <w:pPr>
        <w:spacing w:line="276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Stanowisko służbowe </w:t>
      </w:r>
      <w:r>
        <w:rPr>
          <w:rFonts w:cstheme="minorHAnsi"/>
          <w:b/>
          <w:sz w:val="24"/>
          <w:szCs w:val="24"/>
        </w:rPr>
        <w:t>sędzia Sądu Apelacyjnego;</w:t>
      </w:r>
    </w:p>
    <w:p w14:paraId="674D26EA" w14:textId="77777777" w:rsidR="00356F1B" w:rsidRDefault="00356F1B" w:rsidP="00356F1B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Pełnione funkcje; Inne indywidualne reguły przydziału; Obowiązki niezwiązane z przydziałem;</w:t>
      </w:r>
    </w:p>
    <w:p w14:paraId="15DACAFB" w14:textId="77777777" w:rsidR="00356F1B" w:rsidRDefault="00356F1B" w:rsidP="00356F1B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 ogólne reguły przydziału spraw i zadań sądu;</w:t>
      </w:r>
    </w:p>
    <w:p w14:paraId="05A9CF36" w14:textId="77777777" w:rsidR="00356F1B" w:rsidRDefault="00356F1B" w:rsidP="00356F1B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Informacje dodatkowe</w:t>
      </w:r>
    </w:p>
    <w:p w14:paraId="5E7EFDCB" w14:textId="77777777" w:rsidR="00356F1B" w:rsidRDefault="00356F1B" w:rsidP="00356F1B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II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Plan dyżurów oraz zastępstw sędziów, asesorów sądowych i referendarzy sądowych:</w:t>
      </w:r>
    </w:p>
    <w:p w14:paraId="48DB30E8" w14:textId="77777777" w:rsidR="00356F1B" w:rsidRDefault="00356F1B" w:rsidP="00356F1B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Lp. 1</w:t>
      </w:r>
      <w:r>
        <w:rPr>
          <w:rFonts w:cstheme="minorHAnsi"/>
          <w:b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>Rodzaj spraw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Wszystkie kategorie spraw wpływające do II Wydziału Karnego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Liczba dyżurnych i pełniących zastępstwa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9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Wydział i/lub sędziowie, asesorzy sądowi i referendarze sądowi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II Wydział Karny</w:t>
      </w:r>
    </w:p>
    <w:p w14:paraId="581254DD" w14:textId="77777777" w:rsidR="00221247" w:rsidRDefault="00221247"/>
    <w:sectPr w:rsidR="0022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1D13"/>
    <w:multiLevelType w:val="hybridMultilevel"/>
    <w:tmpl w:val="64B87FE8"/>
    <w:lvl w:ilvl="0" w:tplc="A7B8AFD0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4C0526"/>
    <w:multiLevelType w:val="hybridMultilevel"/>
    <w:tmpl w:val="57F6F69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CA"/>
    <w:rsid w:val="00221247"/>
    <w:rsid w:val="00356F1B"/>
    <w:rsid w:val="004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7207"/>
  <w15:chartTrackingRefBased/>
  <w15:docId w15:val="{5D3FA201-A92D-4BB3-8EB8-6E2749B3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1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Pavtel Katarzyna</dc:creator>
  <cp:keywords/>
  <dc:description/>
  <cp:lastModifiedBy>Pavtel Katarzyna</cp:lastModifiedBy>
  <cp:revision>2</cp:revision>
  <dcterms:created xsi:type="dcterms:W3CDTF">2025-05-13T09:29:00Z</dcterms:created>
  <dcterms:modified xsi:type="dcterms:W3CDTF">2025-05-13T09:33:00Z</dcterms:modified>
</cp:coreProperties>
</file>